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/>
      </w:pPr>
      <w:bookmarkStart w:colFirst="0" w:colLast="0" w:name="_z6ne0og04bp5" w:id="0"/>
      <w:bookmarkEnd w:id="0"/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4144" cy="1414321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4144" cy="1414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 Semibold" w:cs="Proxima Nova Semibold" w:eastAsia="Proxima Nova Semibold" w:hAnsi="Proxima Nova Semibold"/>
          <w:b w:val="0"/>
          <w:color w:val="0043ba"/>
          <w:sz w:val="72"/>
          <w:szCs w:val="72"/>
          <w:rtl w:val="0"/>
        </w:rPr>
        <w:t xml:space="preserve">—</w:t>
      </w:r>
      <w:r w:rsidDel="00000000" w:rsidR="00000000" w:rsidRPr="00000000">
        <w:rPr>
          <w:rFonts w:ascii="Proxima Nova Semibold" w:cs="Proxima Nova Semibold" w:eastAsia="Proxima Nova Semibold" w:hAnsi="Proxima Nova Semibold"/>
          <w:b w:val="0"/>
          <w:color w:val="0f2332"/>
          <w:sz w:val="72"/>
          <w:szCs w:val="72"/>
          <w:rtl w:val="0"/>
        </w:rPr>
        <w:br w:type="textWrapping"/>
        <w:t xml:space="preserve">Submit a RFQ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9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2160"/>
        <w:gridCol w:w="2160"/>
        <w:gridCol w:w="2160"/>
        <w:gridCol w:w="2160"/>
        <w:tblGridChange w:id="0">
          <w:tblGrid>
            <w:gridCol w:w="1035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0f2332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shd w:fill="0f2332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Part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f2332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Manufacturers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f2332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Delivery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f2332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Target Price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before="0" w:line="240" w:lineRule="auto"/>
        <w:rPr>
          <w:rFonts w:ascii="Proxima Nova" w:cs="Proxima Nova" w:eastAsia="Proxima Nova" w:hAnsi="Proxima Nova"/>
          <w:b w:val="1"/>
          <w:color w:val="0f23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0" w:line="240" w:lineRule="auto"/>
        <w:rPr>
          <w:color w:val="0f23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f2332"/>
          <w:sz w:val="24"/>
          <w:szCs w:val="24"/>
          <w:rtl w:val="0"/>
        </w:rPr>
        <w:t xml:space="preserve">Attach this document to the RFQ form by clicking “Choose File”</w:t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1080" w:top="1080" w:left="1440" w:right="1440" w:header="0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Proxima Nova Semibold">
    <w:embedRegular w:fontKey="{00000000-0000-0000-0000-000000000000}" r:id="rId7" w:subsetted="0"/>
    <w:embedBold w:fontKey="{00000000-0000-0000-0000-000000000000}" r:id="rId8" w:subsetted="0"/>
    <w:embedBoldItalic w:fontKey="{00000000-0000-0000-0000-000000000000}" r:id="rId9" w:subsetted="0"/>
  </w:font>
  <w:font w:name="Open Sans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before="20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200" w:line="24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bold.ttf"/><Relationship Id="rId10" Type="http://schemas.openxmlformats.org/officeDocument/2006/relationships/font" Target="fonts/OpenSans-regular.ttf"/><Relationship Id="rId13" Type="http://schemas.openxmlformats.org/officeDocument/2006/relationships/font" Target="fonts/OpenSans-boldItalic.ttf"/><Relationship Id="rId12" Type="http://schemas.openxmlformats.org/officeDocument/2006/relationships/font" Target="fonts/OpenSans-italic.ttf"/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9" Type="http://schemas.openxmlformats.org/officeDocument/2006/relationships/font" Target="fonts/ProximaNovaSemibold-bold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ProximaNovaSemibold-regular.ttf"/><Relationship Id="rId8" Type="http://schemas.openxmlformats.org/officeDocument/2006/relationships/font" Target="fonts/ProximaNova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